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4C442" w14:textId="77777777" w:rsidR="007A34B9" w:rsidRPr="007A34B9" w:rsidRDefault="007A34B9" w:rsidP="007A34B9">
      <w:pPr>
        <w:pStyle w:val="Heading1"/>
        <w:rPr>
          <w:sz w:val="18"/>
          <w:szCs w:val="18"/>
        </w:rPr>
      </w:pPr>
      <w:r w:rsidRPr="007A34B9">
        <w:rPr>
          <w:rStyle w:val="normaltextrun"/>
          <w:rFonts w:asciiTheme="minorHAnsi" w:hAnsiTheme="minorHAnsi" w:cstheme="minorHAnsi"/>
          <w:b/>
          <w:bCs/>
          <w:color w:val="000000"/>
        </w:rPr>
        <w:t>Publications</w:t>
      </w:r>
      <w:r w:rsidRPr="007A34B9">
        <w:rPr>
          <w:rStyle w:val="eop"/>
          <w:rFonts w:asciiTheme="minorHAnsi" w:hAnsiTheme="minorHAnsi" w:cstheme="minorHAnsi"/>
          <w:color w:val="000000"/>
        </w:rPr>
        <w:t> </w:t>
      </w:r>
    </w:p>
    <w:p w14:paraId="639A0898" w14:textId="77777777" w:rsidR="007A34B9" w:rsidRPr="007A34B9" w:rsidRDefault="007A34B9" w:rsidP="007A34B9">
      <w:pPr>
        <w:pStyle w:val="Heading2"/>
        <w:rPr>
          <w:sz w:val="18"/>
          <w:szCs w:val="18"/>
        </w:rPr>
      </w:pPr>
      <w:r w:rsidRPr="007A34B9">
        <w:rPr>
          <w:rStyle w:val="normaltextrun"/>
          <w:rFonts w:asciiTheme="minorHAnsi" w:hAnsiTheme="minorHAnsi" w:cstheme="minorHAnsi"/>
          <w:i/>
          <w:iCs/>
          <w:color w:val="000000"/>
        </w:rPr>
        <w:t>Monographs</w:t>
      </w:r>
      <w:r w:rsidRPr="007A34B9">
        <w:rPr>
          <w:rStyle w:val="eop"/>
          <w:rFonts w:asciiTheme="minorHAnsi" w:hAnsiTheme="minorHAnsi" w:cstheme="minorHAnsi"/>
          <w:color w:val="000000"/>
        </w:rPr>
        <w:t> </w:t>
      </w:r>
    </w:p>
    <w:p w14:paraId="27488949" w14:textId="77777777" w:rsidR="007A34B9" w:rsidRPr="007A34B9" w:rsidRDefault="007A34B9" w:rsidP="007A34B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Vaalavuo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M.,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Kuitto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K. (eds.) 2025. Social Sustainability in ageing welfare states. Cheltenham: Edward Elgar.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4C775BC" w14:textId="77777777" w:rsidR="007A34B9" w:rsidRPr="007A34B9" w:rsidRDefault="007A34B9" w:rsidP="007A34B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R., Yerkes, M.A. (eds.). 2022. Social Policy in Changing European Societies: Research Agendas for the 21st Century. Cheltenham: Edward Elgar.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2FC7A54" w14:textId="77777777" w:rsidR="007A34B9" w:rsidRPr="007A34B9" w:rsidRDefault="007A34B9" w:rsidP="007A34B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Birnbaum, S.,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T., Nelson, K., Palme, J. 2017. The Generational Welfare Contract: Justice, Institutions and Outcomes. Cheltenham: Edward Elgar.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AED9180" w14:textId="77777777" w:rsidR="007A34B9" w:rsidRPr="007A34B9" w:rsidRDefault="007A34B9" w:rsidP="007A34B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Marx, I., Nelson, K. (eds.). 2012. Minimum Income Protection in Flux.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HoundMills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: Palgrave MacMillan.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6F3C30E" w14:textId="77777777" w:rsidR="007A34B9" w:rsidRPr="007A34B9" w:rsidRDefault="007A34B9" w:rsidP="007A34B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Palme, J.,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O. 2012.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Sveriges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socialförsäkringar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jämförande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perspektiv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institutionell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analys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av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sjuk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-,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arbetsskade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-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och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arbetslöshetsförsäkringarna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18 OECD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länder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1930 till 2010.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Underlagsrapport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nr. 10 till den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parlamentariska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socialförsäkringsutredningen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(S 2010:04). Stockholm: Social Ministry.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08EA4C3" w14:textId="77777777" w:rsidR="007A34B9" w:rsidRPr="007A34B9" w:rsidRDefault="007A34B9" w:rsidP="007A34B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Palme, J.,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O., Minas R. 2009. European Social Models, Protection and Inclusion. Research Report 2009/1. Stockholm: Institute for Future Studies.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B539AEB" w14:textId="77777777" w:rsidR="007A34B9" w:rsidRPr="007A34B9" w:rsidRDefault="007A34B9" w:rsidP="007A34B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2003. Fighting Poverty: Comparative Studies on Social Insurance, Means-tested Benefits and Income Redistribution. Dissertation Series No. 60. Stockholm: Swedish Institute for Social Research.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16AE730" w14:textId="77777777" w:rsidR="007A34B9" w:rsidRPr="007A34B9" w:rsidRDefault="007A34B9" w:rsidP="007A34B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D33F0A9" w14:textId="77777777" w:rsidR="007A34B9" w:rsidRPr="007A34B9" w:rsidRDefault="007A34B9" w:rsidP="007A34B9">
      <w:pPr>
        <w:pStyle w:val="Heading2"/>
        <w:rPr>
          <w:sz w:val="18"/>
          <w:szCs w:val="18"/>
        </w:rPr>
      </w:pPr>
      <w:r w:rsidRPr="007A34B9">
        <w:rPr>
          <w:rStyle w:val="normaltextrun"/>
          <w:rFonts w:asciiTheme="minorHAnsi" w:hAnsiTheme="minorHAnsi" w:cstheme="minorHAnsi"/>
          <w:i/>
          <w:iCs/>
          <w:color w:val="000000"/>
        </w:rPr>
        <w:t>Journal articles</w:t>
      </w:r>
      <w:r w:rsidRPr="007A34B9">
        <w:rPr>
          <w:rStyle w:val="eop"/>
          <w:rFonts w:asciiTheme="minorHAnsi" w:hAnsiTheme="minorHAnsi" w:cstheme="minorHAnsi"/>
          <w:color w:val="000000"/>
        </w:rPr>
        <w:t> </w:t>
      </w:r>
    </w:p>
    <w:p w14:paraId="6CA43D29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Lindh, A. and K. Nelson. 2025. Decarbonization Politics for All: Means-Tested Social Assistance, Eco-Social Values, and Public Support for Increased Fossil Fuel Taxes in Europe. Regulation &amp; Governance (forthcoming).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3CB4FD1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Lindh, A.,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Dalén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P. 2025. Social sustainability in the decarbonized welfare state: social policy as a buffer against poverty related to environmental taxes. Global Social Policy 25(1): 36–63.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9C203EE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Borg, I.,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R.,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Alm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S. 2022. The political determinants of housing benefits. European Sociological Review 39(1): 104-117.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31D96CF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Czarnecki,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Korpi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T., Nelson, K. 2021. Student support and tuition fee systems in comparative perspective. Studies in Higher Education 46(11): 2152-2166.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12F3268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and R.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. 2020. Towards a new consolidated framework for analysing benefit coverage. Journal of European Social Policy 31(3):352-362.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AAD83E5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Fredriksson, D.,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Korpi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Korpi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W., Palme, J. and O.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. 2020. The Social Policy Indicators (SPIN) database. International Journal of Social Welfare 29(3): 285–289.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DA9B6F1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Alm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S.,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R. 2019. The Diminishing Power of One? Welfare State Retrenchment and Rising Poverty of Single Adult Households in Sweden 1988-2011. European Sociological Review 36(2): 198–217.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2DC11B8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2017. ‘Lower unemployment benefits and old-age pensions is a major setback in social policy’.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Sociologisk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forskning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54(4): 287-292.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FA09556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Tøge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A.G. 2017. Health trends in the wake of the financial crisis—increasing inequalities? Scandinavian Journal of Public Health 45(18): 22–29.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E8DE7C0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lastRenderedPageBreak/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T., Nelson, K. and J. Palme. 2016. ‘Social transfers and poverty in middle- and high-income countries – A global perspective’, Global Social Policy 16(1): 22-46.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5006C9F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O. 2014. ’Decomposing the effect of social policies on population health and inequalities: An empirical example of unemployment benefits’, Scandinavian Journal of Public Health 42(7): 635-642.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C53C842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J. 2014. ‘Welfare states and population health: The role of minimum income benefits for mortality’, Social Science &amp; Medicine 112: 63-71.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536642B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O. 2014. ’Unemployment insurance and deteriorating self-rated health in 23 European countries’, Journal of Epidemiology and Community Health 68: 657-662.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2AD9771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Montanari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I., Nelson, K. 2014. ’Health Care Determinants in Comparative Perspective: The Role of Partisan Politics for Health Care Provision’, International Journal of Comparative Sociology 54(5-6): 444 - 465.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897B160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K., Nelson, K., Palme, J. 2013. ‘Levels and targeting of social transfers: counteracting poverty in a global perspective’, Journal of Vietnam Academy of Social Sciences 9(7): 17-27.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E7C9C39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Korpi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W., Palme, J. 2013. ’Social citizenship rights and social insurance replacement rate validity: pitfalls and possibilities’, Journal of European Public Policy 20(9): 1251-1266.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D820336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2013. ‘Social Assistance and EU Poverty Thresholds 1990–2008. Are European Welfare Systems Providing Just and Fair Protection Against Low Income?’, European Sociological Review 29(2):  386-401.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FC1F38C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Montanari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I., Nelson, K. 2013. ‘Social service decline and convergence: How does health care fare?’, Journal of European Social Policy 23(1): 102-116.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EA94641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Lundberg, O.,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Åberg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Yngwe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M.,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J., Bacchus Hertzman, J., Bergqvist,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Ferranini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Rehnberg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J.,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O. 2013. ‘The effect of social protection and income maintenance policies on health and health inequalities’, European Journal of Public Health 23(1).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EF92A51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2012. ‘Counteracting material deprivation: the role of social assistance in Europe’, Journal of European Social Policy 22(2): 148-163.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7D94542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2010. ‘Social assistance and minimum income benefits in old and new EU democracies’, International Journal of Social Welfare, 19(4): 367–378.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542DB07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Esser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I.,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O. 2009. ‘A Framework for Comparing Social Protection in Developing and Developed Countries: The Example of Child Benefits’, International Social Security Review 62(1): 91-115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0D984AB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2008. ‘Minimum Income Protection and European Integration: Trends and Levels of Minimum Benefits in Comparative Perspective 1990-2005’, International Journal of Health Services 38(1): 103-124.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3C367E4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Montanari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I., Nelson, K., Palme, J. 2008. ‘Towards a European Social Model? Trends in Social Insurance among EU countries 1980-2000’, European Societies 10(5): 787-810.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A757284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2007. ‘Universalism versus Targeting: The Vulnerability of Social Insurance and Means-Tested Minimum Income Protection in 18 countries 1990-2002’, International Social Security Review 60(1): 33-58.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6B6FFE1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Montanari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I., Nelson, K., Palme, J. 2007. ‘Convergence Pressures and Responses: Recent Social Insurance Developments in Modern Welfare States’, Comparative Sociology 6(3): 295-323.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58330FA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lastRenderedPageBreak/>
        <w:t>Korpi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T., Nelson, K., Stenberg, S.Å. 2007. ‘The Accumulation of Social Problems: Multiple Deprivation in Sweden 1974-2000’, International Journal of Social Welfare 16(1): S91–S104.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4FAE9A5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2004. ‘Mechanisms of Poverty Alleviation in the Welfare State. A Comparative Study of Anti-poverty Effects of </w:t>
      </w:r>
      <w:proofErr w:type="gram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Non Means</w:t>
      </w:r>
      <w:proofErr w:type="gram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-tested and Means-tested Benefits in Five Countries in the 1990s’, Journal of European Social Policy 14(4): 371-390.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8E23E79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T., Nelson, K. 2003. ‘Taxation of Social Insurance and Redistribution: A Comparative Analysis of Ten Welfare States’, Journal of European Social Policy 13(1): 21-33.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A839880" w14:textId="77777777" w:rsidR="007A34B9" w:rsidRPr="007A34B9" w:rsidRDefault="007A34B9" w:rsidP="007A34B9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T., Nelson, K. 2002. ‘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Attivazione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e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coordinamento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Il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caso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svedese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(Activation and Coordination: The Swedish Case)’,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Assistenza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Sociale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n. 2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aprile-giugno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: 37-60.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57E3999" w14:textId="77777777" w:rsidR="007A34B9" w:rsidRPr="007A34B9" w:rsidRDefault="007A34B9" w:rsidP="007A34B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67466EB" w14:textId="77777777" w:rsidR="007A34B9" w:rsidRPr="007A34B9" w:rsidRDefault="007A34B9" w:rsidP="007A34B9">
      <w:pPr>
        <w:pStyle w:val="Heading2"/>
        <w:rPr>
          <w:sz w:val="18"/>
          <w:szCs w:val="18"/>
        </w:rPr>
      </w:pPr>
      <w:r w:rsidRPr="007A34B9">
        <w:rPr>
          <w:rStyle w:val="normaltextrun"/>
          <w:rFonts w:asciiTheme="minorHAnsi" w:hAnsiTheme="minorHAnsi" w:cstheme="minorHAnsi"/>
          <w:i/>
          <w:iCs/>
          <w:color w:val="000000"/>
        </w:rPr>
        <w:t>Book chapters</w:t>
      </w:r>
      <w:r w:rsidRPr="007A34B9">
        <w:rPr>
          <w:rStyle w:val="eop"/>
          <w:rFonts w:asciiTheme="minorHAnsi" w:hAnsiTheme="minorHAnsi" w:cstheme="minorHAnsi"/>
          <w:color w:val="000000"/>
        </w:rPr>
        <w:t> </w:t>
      </w:r>
    </w:p>
    <w:p w14:paraId="7A9D1205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Helmdag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J. and K. Nelson. 2025. Positive-sum solutions in the generational welfare state, in Ageing Welfare States, in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Vaalavuo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M.,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Kuitto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K. (eds.) Social Sustainability in ageing welfare states. Cheltenham: Edward Elgar.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6C9430C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Vaalavuo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M.,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Kuitto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K. 2025. Introduction to Social Sustainability, in Ageing Welfare States, in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Vaalavuo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M.,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Kuitto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K. (eds.) Social Sustainability in ageing welfare states. Cheltenham: Edward Elgar.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21E1FAB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2023. Decommodification, in M. Grasso &amp; M.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Giugni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(eds.) Elgar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Encyclopedia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of Political Sociology. Cheltenham. Edward Elgar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8B1A3C8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Birnbaum, S. and K. Nelson. 2022. Age Universalism will Benefit All (Ages), in G.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Bognar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and A.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Gosseries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(eds.) Aging without Agism?  Conceptual Puzzles and Policy Proposals. Oxford: Oxford University Press.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1E5267E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R., Yerkes, M.A. 2022. Social policy research in changing European societies, in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R., Yerkes, M.A. (eds.) Social Policy in Changing European Societies: Research Agendas for the 21st Century. Cheltenham: Edward Elgar.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F028CE8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Yerkes, M.A.,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R. 2022. Where to from here? Social policy research in future European societies, in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R., Yerkes, M.A. (eds.) Social Policy in Changing European Societies: Research Agendas for the 21st Century. Cheltenham: Edward Elgar.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FE49803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2020. Revisiting the ‘Dependent Variable Problem’: Wim’s Contribution to a Long-Lasting Debate. In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Laenen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Meuleman, B., Otto, A.,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Roosma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F., Van Lancker, W. (eds.) Leading Social Policy Analysis from the Front: Essays in Honour of Wim van Oorschot. Leuven: KU Leuven.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FA8B554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R,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Alm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S. 2020. Sweden: Adjoining the Guarantee Pension with NDC. In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Holzmann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R., Palmer, E., Palacios, R.,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Sacchi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S., Progress and Challenges of Nonfinancial Defined Contribution Pension Schemes: Addressing Gender, Administration, and Communication. Washington: World Bank Publications.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6415CAB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Ebbinghaus, B.,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R. 2019. Poverty in Old Age. In B.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Greve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(ed.) Routledge International Handbook of Poverty. London and New York: Routledge (in press).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48CB70F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Bäckman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O. and K. Nelson. 2017. The Egalitarian </w:t>
      </w:r>
      <w:proofErr w:type="gram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Paradise?,</w:t>
      </w:r>
      <w:proofErr w:type="gram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in P.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Nedergaard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and A.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Wivel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Handbook on Scandinavian Politics. London: Routledge.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55770FE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lastRenderedPageBreak/>
        <w:t xml:space="preserve">Nelson, K. 2014. Minimum Income Protection and European Integration: Trends and Levels of Minimum Benefits in Comparative Perspective, in Navarro, V. and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Muntaner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C (eds.) The Financial and Economic Crises and their Impact on Health and Social Well-Being. New York: Baywood.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696C978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J., Bacchus Hertzman, J.,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Bäckman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O., Borg, I.,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 2013. Sweden: Increasing income inequalities and changing social relations, </w:t>
      </w:r>
      <w:proofErr w:type="gram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  B.</w:t>
      </w:r>
      <w:proofErr w:type="gram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Nolan, W.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Salverda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D. Checchi, I. Marx, A. McKnight, I.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György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Tóth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and H. van de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Werfhorst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(eds.) Inequalities and Societal Impacts in Rich Countries: Thirty Countries’ Experiences. Oxford: Oxford University Press.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1BBCA8C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Montanari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I., Nelson, K. 2013. Health care provision: An exploratory analysis of increase, decline, converging trends and driving forces in comparative perspective, in E.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Pavolini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and A.M.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Guillén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Public Health Care Systems between Restructuring and Retrenchment. Institutional reforms and performance in EU countries.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HoundMills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: Palgrave MacMillan.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C56416A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2012.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Individuell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ofärd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ojämlikhet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och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socialpolitik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Sverige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ett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bredare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europeiskt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perspektiv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in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Kön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klass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och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etnicitet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Jämlikhetsfrågor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socialförsäkringen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Socialförsäkringsrapport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2012:4. Stockholm: Social Insurance Office.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4185036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Marx, I. and K. Nelson. 2012. A New Dawn for Minimum Income </w:t>
      </w:r>
      <w:proofErr w:type="gram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Protection?,</w:t>
      </w:r>
      <w:proofErr w:type="gram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in Marx, I and Nelson, K. (eds.) Minimum Income Protection in Flux.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HoundMills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: Palgrave MacMillan.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3C9CCC8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Höög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H. 2012. From Universalism to Selectivity. Old wine in New Bottles for Child Benefits, in Marx, I and Nelson, K. (eds.) Minimum Income Protection in Flux.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HoundMills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: Palgrave MacMillan.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FC1F217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Kuivalainen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S., Nelson, K. 2011. Eroding Minimum Income in the Nordic Countries and Abroad? Reassessing the Typical Character of Nordic Social Assistance, in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Kvist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J.,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J.,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Hvinden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B., Kangas, O. Changing Social Equality - The Nordic Welfare Model in the 21st Century. Bristol: Policy Press.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E71499A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O., Nelson, K. 2010.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Multipla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välfärdsproblem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: Sverige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ett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jämförande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perspektiv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in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Social Rapport 2010. Stockholm: The National Board of Health and Welfare.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B216C57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Bäckman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O.,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Esser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I.,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Korpi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Rojas, Y.,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O. 2009. Comparative Indicators on Job Quality and Social Protection, in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Guillén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A.M. and S-Å. Dahl Quality of Work in the European Union. Concept, Data and Debates from a Transnational Perspective.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Bruxelles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: P.I.E. Peter Lang.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C4625D0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2006. The Last Resort: Determinants of the Generosity of Means-Tested Minimum Income Protection Policies in Welfare Democracies, in Carroll E. and L. Ericsson Welfare Politics Cross-Examined: Eclecticist Analytical Perspectives on Sweden and on the Developed World: Amsterdam: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Aksel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Atland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Printers.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A257F19" w14:textId="77777777" w:rsidR="007A34B9" w:rsidRPr="007A34B9" w:rsidRDefault="007A34B9" w:rsidP="007A34B9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Korpi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Stenberg, S.Å. 2006.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Välfärdsproblem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Befolkningen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in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Social Rapport 2006. Stockholm: The National Board of Health and Welfare.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B899016" w14:textId="77777777" w:rsidR="007A34B9" w:rsidRPr="007A34B9" w:rsidRDefault="007A34B9" w:rsidP="007A34B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7698A10" w14:textId="77777777" w:rsidR="007A34B9" w:rsidRPr="007A34B9" w:rsidRDefault="007A34B9" w:rsidP="007A34B9">
      <w:pPr>
        <w:pStyle w:val="Heading2"/>
        <w:rPr>
          <w:sz w:val="18"/>
          <w:szCs w:val="18"/>
        </w:rPr>
      </w:pPr>
      <w:r w:rsidRPr="007A34B9">
        <w:rPr>
          <w:rStyle w:val="normaltextrun"/>
          <w:rFonts w:asciiTheme="minorHAnsi" w:hAnsiTheme="minorHAnsi" w:cstheme="minorHAnsi"/>
          <w:i/>
          <w:iCs/>
          <w:color w:val="000000"/>
        </w:rPr>
        <w:t>Other publications</w:t>
      </w:r>
      <w:r w:rsidRPr="007A34B9">
        <w:rPr>
          <w:rStyle w:val="eop"/>
          <w:rFonts w:asciiTheme="minorHAnsi" w:hAnsiTheme="minorHAnsi" w:cstheme="minorHAnsi"/>
          <w:color w:val="000000"/>
        </w:rPr>
        <w:t> </w:t>
      </w:r>
    </w:p>
    <w:p w14:paraId="36E25B22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and S.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Sirén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2025.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Grund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-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eller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inkomsttrygghet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?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Svensk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ekonomisk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trygghetspolitik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historisk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och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internationell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belysning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SNS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Förlag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: Stockholm.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4CF0098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and J. Palme. 2025. Flexible retirement pathways – Sweden. European Social Policy Analysis Network, European Commission: Brussels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4568782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lastRenderedPageBreak/>
        <w:t>Nelson, K. and J. Palme. 2023. ESPAN Thematic Report on Access for children in need to the key services covered by the European Child Guarantee: Sweden (2023). Brussels: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6995A38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and J. Palme. 2022. ESPN Thematic Report on National monitoring frameworks for public social spending – Sweden, European Social Policy Network (ESPN), Brussels: European Commission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42707EF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2022. Sweden seeks to improve the effectiveness of housing benefits and maintenance support, ESPN Flash Report 2022/27, European Social Policy Network (ESPN), Brussels: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86843C1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J., Nelson, K., Backman, L.,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Strigén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J. 2022. ESPN Thematic Report on Making access to social protection for workers and the self-employed more transparent through information and simplification - Sweden, European Social Policy Network (ESPN), Brussels: European Commission.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2FBF430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J., Nelson, K., Palme, J. 2021. Country chapter: Sweden. In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Spasova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S., Ghailani, D., Sabato, S.,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Vanhercke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B (eds.) Social protection of non-standard workers and the self-employed during the pandemic. Report 2021.05. Brussels: ETUI.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6D3D4AA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2021.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Sociologförbundet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har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ordet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–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Konferenser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och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prisutdelning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Sociologisk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forskning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58(3): 355.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7926815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J., Heap, J., Nelson, K. and J. Palme. 2021. ESPN Thematic Report on Access to social protection for young people – Sweden, European Social Policy Network (ESPN), Brussels: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6AFBDCD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2021.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Sociologförbundet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har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ordet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–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Våren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är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här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Sociologisk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forskning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58(1-2): 193.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F1148F3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J., Nelson, K., Heap, J., Palme, J. 2021. ESPN Thematic Report: COVID-19 impact on social protection and social inclusion policies: Sweden. European Social Policy Network (ESPN), Brussels: European Commission.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5286632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2020. ‘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Sociologförbundet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har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ordet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–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Sociologförbundet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sociala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medier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’.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Sociologisk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forskning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57(3-4): 435.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9E576CA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R., Nelson, K., &amp; Fredriksson, D. 2020. Introducing the SPIN visualization tool, Deliverable 1.6, Leuven, InGRID-2 project 730998 – H2020.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30AE911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2020. The privatisation of active labour market policy in Sweden, ESPN Flash Report 2020/13, European Social Policy Network (ESPN), Brussels: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49C082B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2020. Book Review: Unequal Europe: Regional Integration and the Rise of European Inequality. Acta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Sociologica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64(1): 118-119.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0F22F0A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2020.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Sociologförbundet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har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ordet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– Den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nya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styrelsens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arbete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Sociologisk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forskning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57(2): 221.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6036F2B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R.,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Bircan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Burman, S.,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Eneroth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M., Machado, J.,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Metzing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M., Nicaise, I., Schupp, J. 2019. Migrants’ Social Rights: Evaluating a new approach to collect institutional data for comparative research, Leuven, H2020 InGRID-2 project.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CCCAAF9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Knutagård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M., Heap, J., and Nelson, K. 2019. ESPN Thematic Report on National strategies to fight homelessness and housing exclusion – Sweden. European Social Policy Network (ESPN), Brussels: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2C7F0F1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R. 2019. Analysing benefit coverage: A new analytical framework. Leuven, InGRID-2 project 730998 – H2020.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B732943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lastRenderedPageBreak/>
        <w:t xml:space="preserve">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Nieuwenhuis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R.,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Alm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S. 2019. Sweden: Adjoining the Guarantee Pension with NDC. No 136557, Social Protection and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Labor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Policy and Technical Notes. Washington: The World Bank.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C02D5C4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K., Lindh, A. 2019. ‘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Från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Sociologförbundet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’.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Sociologisk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Forskning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56(1): 79-80.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3CFA5A8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J. Heap, J. 2018. ESPN Thematic Report on In-work poverty in Europe, Sweden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012F59F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2018-2019. Brussels.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265BB91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2018. ‘Review: Carly Elizabeth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Schall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The Rise and Fall of the Miraculous Welfare Machine: Immigration and Social Democracy in the Twentieth-Century Sweden. New York: Cornell University Press, 2016’.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Sociologisk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forskning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55(1): 111-113.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3D9653F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J., Heap. J., Nelson, K., Palme, J., Schön, P. 2017. ESPN Thematic Report on Progress in the implementation of the 2013 EU Recommendation on “Investing in children: Breaking the cycle of disadvantage”, Sweden 2017. Brussels: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60DE4E0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Doctrinal, L., Fredriksson, D., Nelson, K. and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Sirén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S. 2017. Deliverable 22.1: Inventory on core social policy databases and indicators for comparative research. Leuven, FP7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InGRID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project.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E1227B0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Van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Gyes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G., Nelson K., Steinmetz S. and M.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Hermans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2017. Deliverable 2.4: Short-term future agenda of the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InGRID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research infrastructure: servicing European research from data to policy on Inclusive Growth. Leuven, FP7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InGRID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project.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9895B43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K., Palme, J., Burman, S.,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Eneroth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M. 2017. ESPN Thematic Report on Access to social protection of people working as self-employed or on non-standard contracts: Sweden 2017. Brussels: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57EE864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Doctrinal, L. and K. Nelson. 2015. Comprehensive Indicators for the Analysis of Out-of-Work Benefits: Introducing the Out-of-Work Benefits Dataset.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InGRID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Deliverable 22.3. Stockholm: Swedish Institute for Social Research.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0A61002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T., Nelson, K. and J. Palme. 2015. Levels and targeting of social benefits in global perspective: Combatting poverty through social policy. LIS working papers series - No. 647. Luxembourg: Luxembourg Income Study.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DC0E1BC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and J.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. 2015. ESPN Thematic Report on minimum income schemes: Sweden 2015. Brussels: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BA0CE4D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Esser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I.,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Palme, J. and O.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. 2013. Unemployment Benefits in EU Member States. Brussels: Employment, Social Affairs and Inclusion, European Commission. 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317341E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2013. 'Review Article: Fighting Working Poverty in Post-industrial Economies: Causes, Trade-offs and Policy Solutions', International Journal of Social Welfare 22(4): 440-441.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C373C10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 and H.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Höög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2012. The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Fiscalization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of Child Benefits in OECD Countries. GINI Discussion Paper No. 49: Amsterdam Institute for Advanced Labour Studies (AIAS), University of Amsterdam.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E08117F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Fritzell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J., Hertzman, J.B.,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Bäckman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O., Borg, I.,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T., Nelson, K. 2012. Country Report on Growing Inequality and its Impacts in Sweden. Country report of the Growing Inequalities’ Impacts (GINI) Project. Amsterdam Institute for Advanced Labour Studies (AIAS), University of Amsterdam.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6940D42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lastRenderedPageBreak/>
        <w:t xml:space="preserve">Palme, J.,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O. 2012.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Rehabiliteringen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måste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utvecklas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Debattartikel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Göteborgsposten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(GP), 31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Juli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8CD4177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O. 2012. Social Rights and Self-Related Health in Europe. Commissioned paper for Task Group 4 on GDP, Taxes, Income and Welfare within the Review of Social Determinants and the Health Divide in the WHO Euro Region. World Health Organization.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5555DAD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2011. Discussion Paper on Improving the efficiency of social protection. The Peer Review in Social Protection and Social Inclusion and Assessment in Social Inclusion. Brussels: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6F7A1F8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2011. Synthesis Report on Improving the efficiency of social protection. The Peer Review in Social Protection and Social Inclusion and Assessment in Social Inclusion. Brussels: European Commission.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50D8521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Kuivalainen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S. and K. Nelson. 2010. The Nordic welfare model in a European perspective. Working Paper 2010: 11. Stockholm: Institute for Futures Studies.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32B91B41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Montanari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I. and K. Nelson. 2010. Health Care Developments in EU Member States: Regressing Trends and Institutional Similarity? Working Paper 2010:7. Stockholm: Institute for Futures Studies.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2576568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2009. ’EU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behöver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mer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ambitiös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socialpolitik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(EU needs more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ambitous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social policies)’,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Framtider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1/2009.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DDA039F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2009. Minimum Income Protection and Low-Income Standards: Is Social Assistance Enough for Poverty Alleviation? Scandinavian Working Papers in Economics 9/2009. Stockholm: Swedish Institute for Social Research.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FC9D77C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2009. Social Assistance and Minimum Income Protection in the EU: Vulnerability, Adequacy, and Convergence. LIS Working Paper No. 511. Luxembourg: Luxembourg Income Study.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5D5C9007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2008. Adequacy of Social Minimums: Workfare, Gender and Poverty Alleviation in Welfare Democracies. LIS Working Paper 474. Luxembourg: Lu&lt;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xembourg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Income Study.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30E5088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2007. Introducing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SaMip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: The Social Assistance and Minimum Income Protection Interim Dataset. Scandinavian Working Papers in Economics 11/2007. Stockholm: Swedish Institute for Social Research.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7345224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Esser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I.,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O. 2007. Terms of Reference for the Study of Social Protection in Developing Countries. Stockholm: The Swedish Development Cooperation Agency (SIDA).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D3FF5A9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Bäckman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B.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Esser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I.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Korpi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, T., Nelson, K., Rojas, Y., O.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Sjöberg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. 2007. Documentation of Data for the Analysis of Job Quality. RECWOWE Working Paper: Task 03.01. Stockholm: Institute for Futures Studies.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9C03248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2006. The Social Assistance and Minimum Income Protection Interim Data-Set: Variables and Codes. Mimeo Stockholm: Swedish Institute for Social Research.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4D55BE7C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Nelson, K. 2006. Social Insurance Developments in the European Union 1980-2000: Un-Intended Convergence, Replacement Rates, and Welfare State Models. Published speech at the Joint Workshop Notre Europe &amp;Eur-IFRI, The European Social Model(s): Which directions and responsibilities for the EU? Paris: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Institut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Français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des Relations 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Internationales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 xml:space="preserve"> (</w:t>
      </w: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Ifri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).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D797C14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2006. The Social Assistance and Minimum Income Protection Interim Data-Set: Documentation. Stockholm: Swedish Institute for Social Research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6899EDB8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lastRenderedPageBreak/>
        <w:t>Nelson, K. 2004. The Formation of Minimum Income Protection: The Institutional Development of Means-tested Benefits in Different Types of Welfare States, 1960-2000. LIS Working Paper No. 373. Luxembourg: Luxembourg Income Studies.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74419FC1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Nelson, K. 2004. The Last Resort: Determinants of Generosity of Means-tested Minimum Income Protection in Welfare Democracies. Compass Working Paper 2004-21.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149AAF3E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T. and K. Nelson. 2002. The Impact of Taxation on the Equalizing Effect of Social Insurance to Income Inequality: A Comparative Analysis of ten welfare states. LIS Working Paper Series No. 327. Luxembourg: Luxembourg Income Studies.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0D41A861" w14:textId="77777777" w:rsidR="007A34B9" w:rsidRPr="007A34B9" w:rsidRDefault="007A34B9" w:rsidP="007A34B9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proofErr w:type="spellStart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Ferrarini</w:t>
      </w:r>
      <w:proofErr w:type="spellEnd"/>
      <w:r w:rsidRPr="007A34B9">
        <w:rPr>
          <w:rStyle w:val="normaltextrun"/>
          <w:rFonts w:asciiTheme="minorHAnsi" w:eastAsiaTheme="majorEastAsia" w:hAnsiTheme="minorHAnsi" w:cstheme="minorHAnsi"/>
          <w:color w:val="000000"/>
        </w:rPr>
        <w:t>, T. and K. Nelson. 2002. Estimating Post-tax Social Insurance Benefits: Validity Problems in Comparative Analyses of Net Income Components form Household Income Data. Scandinavian Working Papers in Economics 6/2002. Stockholm: Swedish Institute for Social Research.</w:t>
      </w:r>
      <w:r w:rsidRPr="007A34B9">
        <w:rPr>
          <w:rStyle w:val="eop"/>
          <w:rFonts w:asciiTheme="minorHAnsi" w:eastAsiaTheme="majorEastAsia" w:hAnsiTheme="minorHAnsi" w:cstheme="minorHAnsi"/>
          <w:color w:val="000000"/>
        </w:rPr>
        <w:t> </w:t>
      </w:r>
    </w:p>
    <w:p w14:paraId="2AE55653" w14:textId="568742FE" w:rsidR="007A34B9" w:rsidRPr="007A34B9" w:rsidRDefault="007A34B9" w:rsidP="007A34B9">
      <w:pPr>
        <w:pStyle w:val="paragraph"/>
        <w:spacing w:before="0" w:beforeAutospacing="0" w:after="0" w:afterAutospacing="0"/>
        <w:ind w:firstLine="50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77C35C86" w14:textId="77777777" w:rsidR="00AC4DAA" w:rsidRPr="007A34B9" w:rsidRDefault="00AC4DAA">
      <w:pPr>
        <w:rPr>
          <w:rFonts w:cstheme="minorHAnsi"/>
        </w:rPr>
      </w:pPr>
    </w:p>
    <w:sectPr w:rsidR="00AC4DAA" w:rsidRPr="007A34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E0933"/>
    <w:multiLevelType w:val="hybridMultilevel"/>
    <w:tmpl w:val="4334B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4278F"/>
    <w:multiLevelType w:val="hybridMultilevel"/>
    <w:tmpl w:val="814E0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55326"/>
    <w:multiLevelType w:val="hybridMultilevel"/>
    <w:tmpl w:val="54B05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97CB9"/>
    <w:multiLevelType w:val="hybridMultilevel"/>
    <w:tmpl w:val="490474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4B9"/>
    <w:rsid w:val="007A34B9"/>
    <w:rsid w:val="00A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EFD0F"/>
  <w15:chartTrackingRefBased/>
  <w15:docId w15:val="{71FC130B-A6ED-4E80-A3B6-A0F363D5F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34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4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A34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A3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34B9"/>
  </w:style>
  <w:style w:type="character" w:customStyle="1" w:styleId="eop">
    <w:name w:val="eop"/>
    <w:basedOn w:val="DefaultParagraphFont"/>
    <w:rsid w:val="007A34B9"/>
  </w:style>
  <w:style w:type="character" w:customStyle="1" w:styleId="Heading1Char">
    <w:name w:val="Heading 1 Char"/>
    <w:basedOn w:val="DefaultParagraphFont"/>
    <w:link w:val="Heading1"/>
    <w:uiPriority w:val="9"/>
    <w:rsid w:val="007A34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A34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A34B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7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3400</Words>
  <Characters>19383</Characters>
  <Application>Microsoft Office Word</Application>
  <DocSecurity>0</DocSecurity>
  <Lines>161</Lines>
  <Paragraphs>45</Paragraphs>
  <ScaleCrop>false</ScaleCrop>
  <Company>University of Oxford</Company>
  <LinksUpToDate>false</LinksUpToDate>
  <CharactersWithSpaces>22738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Inch</dc:creator>
  <cp:keywords/>
  <dc:description/>
  <cp:lastModifiedBy>Faith Inch</cp:lastModifiedBy>
  <cp:revision>1</cp:revision>
  <dcterms:created xsi:type="dcterms:W3CDTF">2025-07-21T10:17:00Z</dcterms:created>
  <dcterms:modified xsi:type="dcterms:W3CDTF">2025-07-21T10:19:00Z</dcterms:modified>
</cp:coreProperties>
</file>